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3481" w:rsidRDefault="00D13481"/>
    <w:p w:rsidR="00640D53" w:rsidRDefault="00640D53">
      <w:r>
        <w:t>Vény nélkül kapható gyermekgyógyászati szerek a Magyar Orvosi Kamara összeállítása</w:t>
      </w:r>
    </w:p>
    <w:p w:rsidR="00640D53" w:rsidRDefault="00640D53">
      <w:r>
        <w:rPr>
          <w:noProof/>
        </w:rPr>
        <w:drawing>
          <wp:inline distT="0" distB="0" distL="0" distR="0" wp14:anchorId="03C8F612" wp14:editId="4F94B807">
            <wp:extent cx="5760720" cy="745045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0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D53"/>
    <w:rsid w:val="00640D53"/>
    <w:rsid w:val="00D1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805B"/>
  <w15:chartTrackingRefBased/>
  <w15:docId w15:val="{A386DF14-DA96-4744-BF17-0EDE9C4A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76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Kázár Ágnes</dc:creator>
  <cp:keywords/>
  <dc:description/>
  <cp:lastModifiedBy>Kázár Ágnes</cp:lastModifiedBy>
  <cp:revision>1</cp:revision>
  <dcterms:created xsi:type="dcterms:W3CDTF">2020-04-13T13:11:00Z</dcterms:created>
  <dcterms:modified xsi:type="dcterms:W3CDTF">2020-04-13T13:13:00Z</dcterms:modified>
</cp:coreProperties>
</file>